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4063">
      <w:pPr>
        <w:pStyle w:val="9"/>
        <w:widowControl w:val="0"/>
        <w:jc w:val="both"/>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附件</w:t>
      </w:r>
      <w:r>
        <w:rPr>
          <w:rFonts w:hint="eastAsia" w:eastAsia="黑体" w:cs="Times New Roman"/>
          <w:color w:val="auto"/>
          <w:sz w:val="33"/>
          <w:szCs w:val="33"/>
          <w:lang w:val="en-US" w:eastAsia="zh-CN"/>
        </w:rPr>
        <w:t>7</w:t>
      </w:r>
    </w:p>
    <w:p w14:paraId="45FFF599">
      <w:pPr>
        <w:pStyle w:val="6"/>
        <w:widowControl/>
      </w:pPr>
      <w:bookmarkStart w:id="0" w:name="_GoBack"/>
      <w:r>
        <w:t>跨境电商类项目申报指南</w:t>
      </w:r>
      <w:bookmarkEnd w:id="0"/>
    </w:p>
    <w:p w14:paraId="0E3134BD">
      <w:pPr>
        <w:pStyle w:val="2"/>
        <w:pageBreakBefore w:val="0"/>
        <w:widowControl/>
        <w:kinsoku/>
        <w:wordWrap/>
        <w:overflowPunct/>
        <w:topLinePunct w:val="0"/>
        <w:autoSpaceDE/>
        <w:autoSpaceDN/>
        <w:bidi w:val="0"/>
        <w:adjustRightInd/>
        <w:snapToGrid/>
        <w:spacing w:beforeLines="0" w:afterLines="0" w:line="560" w:lineRule="exact"/>
        <w:textAlignment w:val="auto"/>
      </w:pPr>
    </w:p>
    <w:p w14:paraId="6D6B74DA">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firstLine="660" w:firstLineChars="200"/>
        <w:textAlignment w:val="auto"/>
        <w:rPr>
          <w:sz w:val="33"/>
          <w:szCs w:val="33"/>
        </w:rPr>
      </w:pPr>
      <w:r>
        <w:rPr>
          <w:rFonts w:hint="eastAsia" w:ascii="黑体" w:hAnsi="黑体" w:eastAsia="黑体" w:cs="黑体"/>
          <w:kern w:val="44"/>
          <w:sz w:val="33"/>
          <w:szCs w:val="33"/>
        </w:rPr>
        <w:t>一、</w:t>
      </w:r>
      <w:r>
        <w:rPr>
          <w:sz w:val="33"/>
          <w:szCs w:val="33"/>
        </w:rPr>
        <w:t>支持对象</w:t>
      </w:r>
    </w:p>
    <w:p w14:paraId="3AED7525">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firstLine="660" w:firstLineChars="200"/>
        <w:textAlignment w:val="auto"/>
        <w:rPr>
          <w:rFonts w:hint="eastAsia" w:ascii="仿宋_GB2312" w:hAnsi="仿宋_GB2312" w:eastAsia="仿宋_GB2312" w:cs="仿宋_GB2312"/>
          <w:color w:val="231F20"/>
          <w:sz w:val="33"/>
          <w:szCs w:val="33"/>
        </w:rPr>
      </w:pPr>
      <w:r>
        <w:rPr>
          <w:rFonts w:hint="eastAsia" w:ascii="仿宋_GB2312" w:hAnsi="仿宋_GB2312" w:eastAsia="仿宋_GB2312" w:cs="仿宋_GB2312"/>
          <w:color w:val="231F20"/>
          <w:sz w:val="33"/>
          <w:szCs w:val="33"/>
        </w:rPr>
        <w:t>主要包括通过上线第三方跨境电商平台、设立独立站等开展进出口业务并有进出口实绩的企业。</w:t>
      </w:r>
    </w:p>
    <w:p w14:paraId="6252F893">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firstLine="420" w:firstLineChars="0"/>
        <w:textAlignment w:val="auto"/>
        <w:rPr>
          <w:sz w:val="33"/>
          <w:szCs w:val="33"/>
        </w:rPr>
      </w:pPr>
      <w:r>
        <w:rPr>
          <w:sz w:val="33"/>
          <w:szCs w:val="33"/>
        </w:rPr>
        <w:t>二、申报时限</w:t>
      </w:r>
    </w:p>
    <w:p w14:paraId="7B57C7AC">
      <w:pPr>
        <w:pStyle w:val="4"/>
        <w:pageBreakBefore w:val="0"/>
        <w:widowControl/>
        <w:kinsoku/>
        <w:wordWrap/>
        <w:overflowPunct/>
        <w:topLinePunct w:val="0"/>
        <w:autoSpaceDE/>
        <w:autoSpaceDN/>
        <w:bidi w:val="0"/>
        <w:adjustRightInd/>
        <w:snapToGrid/>
        <w:spacing w:line="570" w:lineRule="exact"/>
        <w:ind w:left="0" w:leftChars="0" w:firstLine="420" w:firstLineChars="0"/>
        <w:textAlignment w:val="auto"/>
        <w:rPr>
          <w:rFonts w:hint="default" w:ascii="Times New Roman" w:hAnsi="Times New Roman" w:cs="Times New Roman"/>
          <w:sz w:val="33"/>
          <w:szCs w:val="33"/>
          <w:highlight w:val="none"/>
        </w:rPr>
      </w:pPr>
      <w:r>
        <w:rPr>
          <w:rFonts w:hint="default" w:ascii="Times New Roman" w:hAnsi="Times New Roman" w:cs="Times New Roman"/>
          <w:color w:val="231F20"/>
          <w:sz w:val="33"/>
          <w:szCs w:val="33"/>
          <w:highlight w:val="none"/>
        </w:rPr>
        <w:t>202</w:t>
      </w:r>
      <w:r>
        <w:rPr>
          <w:rFonts w:hint="eastAsia" w:ascii="Times New Roman" w:hAnsi="Times New Roman" w:cs="Times New Roman"/>
          <w:color w:val="231F20"/>
          <w:sz w:val="33"/>
          <w:szCs w:val="33"/>
          <w:highlight w:val="none"/>
          <w:lang w:val="en-US" w:eastAsia="zh-CN"/>
        </w:rPr>
        <w:t>5</w:t>
      </w:r>
      <w:r>
        <w:rPr>
          <w:rFonts w:hint="default" w:ascii="Times New Roman" w:hAnsi="Times New Roman" w:cs="Times New Roman"/>
          <w:color w:val="231F20"/>
          <w:sz w:val="33"/>
          <w:szCs w:val="33"/>
          <w:highlight w:val="none"/>
        </w:rPr>
        <w:t>年</w:t>
      </w:r>
      <w:r>
        <w:rPr>
          <w:rFonts w:hint="eastAsia" w:ascii="Times New Roman" w:hAnsi="Times New Roman" w:cs="Times New Roman"/>
          <w:color w:val="231F20"/>
          <w:sz w:val="33"/>
          <w:szCs w:val="33"/>
          <w:highlight w:val="none"/>
          <w:lang w:val="en-US" w:eastAsia="zh-CN"/>
        </w:rPr>
        <w:t>1</w:t>
      </w:r>
      <w:r>
        <w:rPr>
          <w:rFonts w:hint="default" w:ascii="Times New Roman" w:hAnsi="Times New Roman" w:cs="Times New Roman"/>
          <w:color w:val="231F20"/>
          <w:sz w:val="33"/>
          <w:szCs w:val="33"/>
          <w:highlight w:val="none"/>
        </w:rPr>
        <w:t>月1日—202</w:t>
      </w:r>
      <w:r>
        <w:rPr>
          <w:rFonts w:hint="default" w:ascii="Times New Roman" w:hAnsi="Times New Roman" w:cs="Times New Roman"/>
          <w:color w:val="231F20"/>
          <w:sz w:val="33"/>
          <w:szCs w:val="33"/>
          <w:highlight w:val="none"/>
          <w:lang w:val="en-US" w:eastAsia="zh-CN"/>
        </w:rPr>
        <w:t>5</w:t>
      </w:r>
      <w:r>
        <w:rPr>
          <w:rFonts w:hint="default" w:ascii="Times New Roman" w:hAnsi="Times New Roman" w:cs="Times New Roman"/>
          <w:color w:val="231F20"/>
          <w:sz w:val="33"/>
          <w:szCs w:val="33"/>
          <w:highlight w:val="none"/>
        </w:rPr>
        <w:t>年</w:t>
      </w:r>
      <w:r>
        <w:rPr>
          <w:rFonts w:hint="default" w:ascii="Times New Roman" w:hAnsi="Times New Roman" w:cs="Times New Roman"/>
          <w:color w:val="231F20"/>
          <w:sz w:val="33"/>
          <w:szCs w:val="33"/>
          <w:highlight w:val="none"/>
          <w:lang w:val="en-US" w:eastAsia="zh-CN"/>
        </w:rPr>
        <w:t>12</w:t>
      </w:r>
      <w:r>
        <w:rPr>
          <w:rFonts w:hint="default" w:ascii="Times New Roman" w:hAnsi="Times New Roman" w:cs="Times New Roman"/>
          <w:color w:val="231F20"/>
          <w:sz w:val="33"/>
          <w:szCs w:val="33"/>
          <w:highlight w:val="none"/>
        </w:rPr>
        <w:t>月</w:t>
      </w:r>
      <w:r>
        <w:rPr>
          <w:rFonts w:hint="default" w:ascii="Times New Roman" w:hAnsi="Times New Roman" w:cs="Times New Roman"/>
          <w:color w:val="231F20"/>
          <w:sz w:val="33"/>
          <w:szCs w:val="33"/>
          <w:highlight w:val="none"/>
          <w:lang w:val="en-US" w:eastAsia="zh-CN"/>
        </w:rPr>
        <w:t>15</w:t>
      </w:r>
      <w:r>
        <w:rPr>
          <w:rFonts w:hint="default" w:ascii="Times New Roman" w:hAnsi="Times New Roman" w:cs="Times New Roman"/>
          <w:color w:val="231F20"/>
          <w:sz w:val="33"/>
          <w:szCs w:val="33"/>
          <w:highlight w:val="none"/>
        </w:rPr>
        <w:t>日发生的费用，以发票日期计算</w:t>
      </w:r>
      <w:r>
        <w:rPr>
          <w:rFonts w:hint="eastAsia" w:ascii="Times New Roman" w:hAnsi="Times New Roman" w:eastAsia="仿宋_GB2312" w:cs="Times New Roman"/>
          <w:b/>
          <w:bCs w:val="0"/>
          <w:color w:val="auto"/>
          <w:sz w:val="33"/>
          <w:szCs w:val="33"/>
          <w:lang w:val="en-US" w:eastAsia="zh-CN"/>
        </w:rPr>
        <w:t>（不可重复支持）</w:t>
      </w:r>
      <w:r>
        <w:rPr>
          <w:rFonts w:hint="default" w:ascii="Times New Roman" w:hAnsi="Times New Roman" w:cs="Times New Roman"/>
          <w:color w:val="231F20"/>
          <w:sz w:val="33"/>
          <w:szCs w:val="33"/>
          <w:highlight w:val="none"/>
        </w:rPr>
        <w:t>。</w:t>
      </w:r>
    </w:p>
    <w:p w14:paraId="3A8B74FC">
      <w:pPr>
        <w:pStyle w:val="2"/>
        <w:pageBreakBefore w:val="0"/>
        <w:widowControl/>
        <w:kinsoku/>
        <w:wordWrap/>
        <w:overflowPunct/>
        <w:topLinePunct w:val="0"/>
        <w:autoSpaceDE/>
        <w:autoSpaceDN/>
        <w:bidi w:val="0"/>
        <w:adjustRightInd/>
        <w:snapToGrid/>
        <w:spacing w:beforeLines="0" w:afterLines="0" w:line="570" w:lineRule="exact"/>
        <w:ind w:left="0" w:leftChars="0" w:firstLine="420" w:firstLineChars="0"/>
        <w:textAlignment w:val="auto"/>
        <w:rPr>
          <w:sz w:val="33"/>
          <w:szCs w:val="33"/>
        </w:rPr>
      </w:pPr>
      <w:r>
        <w:rPr>
          <w:sz w:val="33"/>
          <w:szCs w:val="33"/>
        </w:rPr>
        <w:t>三、支持方式</w:t>
      </w:r>
    </w:p>
    <w:p w14:paraId="68FA30F2">
      <w:pPr>
        <w:pStyle w:val="4"/>
        <w:pageBreakBefore w:val="0"/>
        <w:widowControl/>
        <w:kinsoku/>
        <w:wordWrap/>
        <w:overflowPunct/>
        <w:topLinePunct w:val="0"/>
        <w:autoSpaceDE/>
        <w:autoSpaceDN/>
        <w:bidi w:val="0"/>
        <w:adjustRightInd/>
        <w:snapToGrid/>
        <w:spacing w:line="570" w:lineRule="exact"/>
        <w:ind w:left="0" w:leftChars="0" w:firstLine="420" w:firstLineChars="0"/>
        <w:textAlignment w:val="auto"/>
        <w:rPr>
          <w:sz w:val="33"/>
          <w:szCs w:val="33"/>
        </w:rPr>
      </w:pPr>
      <w:r>
        <w:rPr>
          <w:color w:val="231F20"/>
          <w:sz w:val="33"/>
          <w:szCs w:val="33"/>
        </w:rPr>
        <w:t>事后奖补。</w:t>
      </w:r>
    </w:p>
    <w:p w14:paraId="5E822D03">
      <w:pPr>
        <w:pStyle w:val="2"/>
        <w:pageBreakBefore w:val="0"/>
        <w:widowControl/>
        <w:kinsoku/>
        <w:wordWrap/>
        <w:overflowPunct/>
        <w:topLinePunct w:val="0"/>
        <w:autoSpaceDE/>
        <w:autoSpaceDN/>
        <w:bidi w:val="0"/>
        <w:adjustRightInd/>
        <w:snapToGrid/>
        <w:spacing w:beforeLines="0" w:afterLines="0" w:line="570" w:lineRule="exact"/>
        <w:ind w:left="0" w:leftChars="0" w:firstLine="420" w:firstLineChars="0"/>
        <w:textAlignment w:val="auto"/>
        <w:rPr>
          <w:sz w:val="33"/>
          <w:szCs w:val="33"/>
        </w:rPr>
      </w:pPr>
      <w:r>
        <w:rPr>
          <w:sz w:val="33"/>
          <w:szCs w:val="33"/>
        </w:rPr>
        <w:t>四、支持范围</w:t>
      </w:r>
    </w:p>
    <w:p w14:paraId="2070AA7D">
      <w:pPr>
        <w:pStyle w:val="3"/>
        <w:pageBreakBefore w:val="0"/>
        <w:widowControl/>
        <w:kinsoku/>
        <w:wordWrap/>
        <w:overflowPunct/>
        <w:topLinePunct w:val="0"/>
        <w:autoSpaceDE/>
        <w:autoSpaceDN/>
        <w:bidi w:val="0"/>
        <w:adjustRightInd/>
        <w:snapToGrid/>
        <w:spacing w:beforeLines="0" w:afterLines="0" w:line="570" w:lineRule="exact"/>
        <w:ind w:left="0" w:leftChars="0" w:firstLine="420" w:firstLineChars="0"/>
        <w:textAlignment w:val="auto"/>
        <w:rPr>
          <w:rFonts w:hint="default" w:ascii="Times New Roman" w:hAnsi="Times New Roman" w:eastAsia="仿宋_GB2312" w:cs="Times New Roman"/>
          <w:sz w:val="33"/>
          <w:szCs w:val="33"/>
        </w:rPr>
      </w:pPr>
      <w:r>
        <w:rPr>
          <w:rFonts w:hint="eastAsia" w:ascii="Times New Roman" w:hAnsi="Times New Roman" w:eastAsia="仿宋_GB2312" w:cs="Times New Roman"/>
          <w:b/>
          <w:bCs/>
          <w:sz w:val="33"/>
          <w:szCs w:val="33"/>
          <w:lang w:val="en-US" w:eastAsia="zh-CN"/>
        </w:rPr>
        <w:t>提高企业跨境电商应用水平</w:t>
      </w:r>
      <w:r>
        <w:rPr>
          <w:rFonts w:hint="default" w:ascii="Times New Roman" w:hAnsi="Times New Roman" w:eastAsia="仿宋_GB2312" w:cs="Times New Roman"/>
          <w:b/>
          <w:bCs/>
          <w:sz w:val="33"/>
          <w:szCs w:val="33"/>
          <w:lang w:eastAsia="zh-CN"/>
        </w:rPr>
        <w:t>。</w:t>
      </w:r>
      <w:r>
        <w:rPr>
          <w:rFonts w:hint="default" w:ascii="Times New Roman" w:hAnsi="Times New Roman" w:eastAsia="仿宋_GB2312" w:cs="Times New Roman"/>
          <w:color w:val="231F20"/>
          <w:sz w:val="33"/>
          <w:szCs w:val="33"/>
        </w:rPr>
        <w:t>对企业上线第三方跨境电商平台、设立独立站的注册费、服务费、建站推广费等，结合跨境电商海关入统数据（海关监管代码9610、9710、9810</w:t>
      </w:r>
      <w:r>
        <w:rPr>
          <w:rFonts w:hint="eastAsia" w:ascii="Times New Roman" w:hAnsi="Times New Roman" w:eastAsia="仿宋_GB2312" w:cs="Times New Roman"/>
          <w:color w:val="231F20"/>
          <w:sz w:val="33"/>
          <w:szCs w:val="33"/>
          <w:lang w:eastAsia="zh-CN"/>
        </w:rPr>
        <w:t>、</w:t>
      </w:r>
      <w:r>
        <w:rPr>
          <w:rFonts w:hint="eastAsia" w:ascii="Times New Roman" w:hAnsi="Times New Roman" w:eastAsia="仿宋_GB2312" w:cs="Times New Roman"/>
          <w:color w:val="231F20"/>
          <w:sz w:val="33"/>
          <w:szCs w:val="33"/>
          <w:lang w:val="en-US" w:eastAsia="zh-CN"/>
        </w:rPr>
        <w:t>1210</w:t>
      </w:r>
      <w:r>
        <w:rPr>
          <w:rFonts w:hint="default" w:ascii="Times New Roman" w:hAnsi="Times New Roman" w:eastAsia="仿宋_GB2312" w:cs="Times New Roman"/>
          <w:color w:val="231F20"/>
          <w:sz w:val="33"/>
          <w:szCs w:val="33"/>
        </w:rPr>
        <w:t>），予以支持。</w:t>
      </w:r>
    </w:p>
    <w:p w14:paraId="3DAF9A39">
      <w:pPr>
        <w:pStyle w:val="2"/>
        <w:pageBreakBefore w:val="0"/>
        <w:widowControl/>
        <w:kinsoku/>
        <w:wordWrap/>
        <w:overflowPunct/>
        <w:topLinePunct w:val="0"/>
        <w:autoSpaceDE/>
        <w:autoSpaceDN/>
        <w:bidi w:val="0"/>
        <w:adjustRightInd/>
        <w:snapToGrid/>
        <w:spacing w:beforeLines="0" w:afterLines="0" w:line="570" w:lineRule="exact"/>
        <w:ind w:left="0" w:leftChars="0" w:firstLine="420" w:firstLineChars="0"/>
        <w:textAlignment w:val="auto"/>
        <w:rPr>
          <w:sz w:val="33"/>
          <w:szCs w:val="33"/>
        </w:rPr>
      </w:pPr>
      <w:r>
        <w:rPr>
          <w:sz w:val="33"/>
          <w:szCs w:val="33"/>
        </w:rPr>
        <w:t>五、支持标准</w:t>
      </w:r>
    </w:p>
    <w:p w14:paraId="6B7B812B">
      <w:pPr>
        <w:pStyle w:val="4"/>
        <w:pageBreakBefore w:val="0"/>
        <w:widowControl/>
        <w:kinsoku/>
        <w:wordWrap/>
        <w:overflowPunct/>
        <w:topLinePunct w:val="0"/>
        <w:autoSpaceDE/>
        <w:autoSpaceDN/>
        <w:bidi w:val="0"/>
        <w:adjustRightInd/>
        <w:snapToGrid/>
        <w:spacing w:line="570" w:lineRule="exact"/>
        <w:ind w:left="0" w:leftChars="0"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1.根据实际发生费用，依据中央外经贸发展专项资金管理办法及实施细则等政策文件要求予以补贴，费用为外汇的，以票据实际发生月月末外汇汇率为准，予以支持。</w:t>
      </w:r>
    </w:p>
    <w:p w14:paraId="58EDEADE">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2.支持金额不超过</w:t>
      </w:r>
      <w:r>
        <w:rPr>
          <w:rFonts w:hint="default" w:ascii="Times New Roman" w:hAnsi="Times New Roman" w:cs="Times New Roman"/>
          <w:color w:val="231F20"/>
          <w:sz w:val="33"/>
          <w:szCs w:val="33"/>
          <w:lang w:eastAsia="zh-CN"/>
        </w:rPr>
        <w:t>会计师事务所</w:t>
      </w:r>
      <w:r>
        <w:rPr>
          <w:rFonts w:hint="default" w:ascii="Times New Roman" w:hAnsi="Times New Roman" w:cs="Times New Roman"/>
          <w:color w:val="231F20"/>
          <w:sz w:val="33"/>
          <w:szCs w:val="33"/>
        </w:rPr>
        <w:t>审核金额的</w:t>
      </w:r>
      <w:r>
        <w:rPr>
          <w:rFonts w:hint="default" w:ascii="Times New Roman" w:hAnsi="Times New Roman" w:cs="Times New Roman"/>
          <w:color w:val="231F20"/>
          <w:sz w:val="33"/>
          <w:szCs w:val="33"/>
          <w:lang w:val="en-US" w:eastAsia="zh-CN"/>
        </w:rPr>
        <w:t>5</w:t>
      </w:r>
      <w:r>
        <w:rPr>
          <w:rFonts w:hint="default" w:ascii="Times New Roman" w:hAnsi="Times New Roman" w:cs="Times New Roman"/>
          <w:color w:val="231F20"/>
          <w:sz w:val="33"/>
          <w:szCs w:val="33"/>
        </w:rPr>
        <w:t>0％。</w:t>
      </w:r>
    </w:p>
    <w:p w14:paraId="37D0D5B0">
      <w:pPr>
        <w:pStyle w:val="4"/>
        <w:pageBreakBefore w:val="0"/>
        <w:widowControl/>
        <w:kinsoku/>
        <w:wordWrap/>
        <w:overflowPunct/>
        <w:topLinePunct w:val="0"/>
        <w:autoSpaceDE/>
        <w:autoSpaceDN/>
        <w:bidi w:val="0"/>
        <w:adjustRightInd/>
        <w:snapToGrid/>
        <w:spacing w:line="570" w:lineRule="exact"/>
        <w:ind w:left="0" w:leftChars="0"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3.单个项目支持金额不得少于5万元。</w:t>
      </w:r>
    </w:p>
    <w:p w14:paraId="1DA46FAA">
      <w:pPr>
        <w:pStyle w:val="2"/>
        <w:pageBreakBefore w:val="0"/>
        <w:widowControl/>
        <w:kinsoku/>
        <w:wordWrap/>
        <w:overflowPunct/>
        <w:topLinePunct w:val="0"/>
        <w:autoSpaceDE/>
        <w:autoSpaceDN/>
        <w:bidi w:val="0"/>
        <w:adjustRightInd/>
        <w:snapToGrid/>
        <w:spacing w:beforeLines="0" w:afterLines="0"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sz w:val="33"/>
          <w:szCs w:val="33"/>
        </w:rPr>
        <w:t>六、申报材料</w:t>
      </w:r>
    </w:p>
    <w:p w14:paraId="509EFB45">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1.项目储备申请书（附件1）；</w:t>
      </w:r>
    </w:p>
    <w:p w14:paraId="1C934FCF">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2.项目储备申请表（附件2）；</w:t>
      </w:r>
    </w:p>
    <w:p w14:paraId="1AF8E9B1">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3.法律责任声明（附件3）；</w:t>
      </w:r>
    </w:p>
    <w:p w14:paraId="2A1CAA80">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color w:val="231F20"/>
          <w:sz w:val="33"/>
          <w:szCs w:val="33"/>
          <w:lang w:val="en-US" w:eastAsia="zh-CN"/>
        </w:rPr>
      </w:pPr>
      <w:r>
        <w:rPr>
          <w:rFonts w:hint="eastAsia" w:ascii="Times New Roman" w:hAnsi="Times New Roman" w:cs="Times New Roman"/>
          <w:color w:val="231F20"/>
          <w:sz w:val="33"/>
          <w:szCs w:val="33"/>
          <w:lang w:val="en-US" w:eastAsia="zh-CN"/>
        </w:rPr>
        <w:t>4.省级外经贸发展专项资金绩效目标表</w:t>
      </w:r>
      <w:r>
        <w:rPr>
          <w:rFonts w:hint="default" w:ascii="Times New Roman" w:hAnsi="Times New Roman" w:cs="Times New Roman"/>
          <w:color w:val="231F20"/>
          <w:sz w:val="33"/>
          <w:szCs w:val="33"/>
        </w:rPr>
        <w:t>（附件</w:t>
      </w:r>
      <w:r>
        <w:rPr>
          <w:rFonts w:hint="eastAsia" w:ascii="Times New Roman" w:hAnsi="Times New Roman" w:cs="Times New Roman"/>
          <w:color w:val="231F20"/>
          <w:sz w:val="33"/>
          <w:szCs w:val="33"/>
          <w:lang w:val="en-US" w:eastAsia="zh-CN"/>
        </w:rPr>
        <w:t>4</w:t>
      </w:r>
      <w:r>
        <w:rPr>
          <w:rFonts w:hint="default" w:ascii="Times New Roman" w:hAnsi="Times New Roman" w:cs="Times New Roman"/>
          <w:color w:val="231F20"/>
          <w:sz w:val="33"/>
          <w:szCs w:val="33"/>
        </w:rPr>
        <w:t>）</w:t>
      </w:r>
      <w:r>
        <w:rPr>
          <w:rFonts w:hint="eastAsia" w:ascii="Times New Roman" w:hAnsi="Times New Roman" w:cs="Times New Roman"/>
          <w:color w:val="231F20"/>
          <w:sz w:val="33"/>
          <w:szCs w:val="33"/>
          <w:lang w:val="en-US" w:eastAsia="zh-CN"/>
        </w:rPr>
        <w:t>；</w:t>
      </w:r>
    </w:p>
    <w:p w14:paraId="3B422507">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4.项目近两年获得财政资金支持情况（按财政拨款指标文件详细说明，并附文件复印件）、该项目当年申请其他财政资金支持情况（按申报资金全称，申报项目和金额逐一说明，并附申报材料）；</w:t>
      </w:r>
    </w:p>
    <w:p w14:paraId="56DCB1D0">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default" w:ascii="Times New Roman" w:hAnsi="Times New Roman" w:cs="Times New Roman"/>
          <w:color w:val="231F20"/>
          <w:sz w:val="33"/>
          <w:szCs w:val="33"/>
        </w:rPr>
        <w:t>5.项目申请报告（包括：项目申报单位的基本情况、财务状况及项目投入情况，项目申请金额，项目背景和主要内容，项目实际进展情况，项目总支出及资金来源，项目预期达到的目标和实际效果等）；</w:t>
      </w:r>
    </w:p>
    <w:p w14:paraId="0B5B7108">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color w:val="231F20"/>
          <w:sz w:val="33"/>
          <w:szCs w:val="33"/>
        </w:rPr>
      </w:pPr>
      <w:r>
        <w:rPr>
          <w:rFonts w:hint="default" w:ascii="Times New Roman" w:hAnsi="Times New Roman" w:cs="Times New Roman"/>
          <w:color w:val="231F20"/>
          <w:sz w:val="33"/>
          <w:szCs w:val="33"/>
        </w:rPr>
        <w:t>6.企业法人须提供社会统一信用代码证复印件；</w:t>
      </w:r>
    </w:p>
    <w:p w14:paraId="1DB871C8">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z w:val="33"/>
          <w:szCs w:val="33"/>
          <w:lang w:val="en-US" w:eastAsia="zh-CN"/>
        </w:rPr>
        <w:t>7</w:t>
      </w:r>
      <w:r>
        <w:rPr>
          <w:rFonts w:hint="default" w:ascii="Times New Roman" w:hAnsi="Times New Roman" w:cs="Times New Roman"/>
          <w:color w:val="231F20"/>
          <w:sz w:val="33"/>
          <w:szCs w:val="33"/>
        </w:rPr>
        <w:t>.企业信用报告；</w:t>
      </w:r>
    </w:p>
    <w:p w14:paraId="25898068">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z w:val="33"/>
          <w:szCs w:val="33"/>
          <w:lang w:val="en-US" w:eastAsia="zh-CN"/>
        </w:rPr>
        <w:t>8</w:t>
      </w:r>
      <w:r>
        <w:rPr>
          <w:rFonts w:hint="default" w:ascii="Times New Roman" w:hAnsi="Times New Roman" w:cs="Times New Roman"/>
          <w:color w:val="231F20"/>
          <w:sz w:val="33"/>
          <w:szCs w:val="33"/>
        </w:rPr>
        <w:t>.进出口业绩证明材料（包括一般贸易和跨境电商，以海关数据为准）；</w:t>
      </w:r>
    </w:p>
    <w:p w14:paraId="1D420B80">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z w:val="33"/>
          <w:szCs w:val="33"/>
          <w:lang w:val="en-US" w:eastAsia="zh-CN"/>
        </w:rPr>
        <w:t>9</w:t>
      </w:r>
      <w:r>
        <w:rPr>
          <w:rFonts w:hint="default" w:ascii="Times New Roman" w:hAnsi="Times New Roman" w:cs="Times New Roman"/>
          <w:color w:val="231F20"/>
          <w:sz w:val="33"/>
          <w:szCs w:val="33"/>
        </w:rPr>
        <w:t>.设立独立站并运营相关证明材料；</w:t>
      </w:r>
    </w:p>
    <w:p w14:paraId="6D88C4FD">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pacing wpsCustomData:val="-6" w:val="-6"/>
          <w:sz w:val="33"/>
          <w:szCs w:val="33"/>
          <w:lang w:val="en-US" w:eastAsia="zh-CN"/>
        </w:rPr>
        <w:t>10</w:t>
      </w:r>
      <w:r>
        <w:rPr>
          <w:rFonts w:hint="default" w:ascii="Times New Roman" w:hAnsi="Times New Roman" w:cs="Times New Roman"/>
          <w:color w:val="231F20"/>
          <w:spacing wpsCustomData:val="-6" w:val="5"/>
          <w:sz w:val="33"/>
          <w:szCs w:val="33"/>
        </w:rPr>
        <w:t>.与第三方跨境电商平台、独立站服务商签订的合同</w:t>
      </w:r>
      <w:r>
        <w:rPr>
          <w:rFonts w:hint="default" w:ascii="Times New Roman" w:hAnsi="Times New Roman" w:cs="Times New Roman"/>
          <w:color w:val="231F20"/>
          <w:spacing wpsCustomData:val="-6" w:val="-6"/>
          <w:sz w:val="33"/>
          <w:szCs w:val="33"/>
        </w:rPr>
        <w:t>复</w:t>
      </w:r>
      <w:r>
        <w:rPr>
          <w:rFonts w:hint="default" w:ascii="Times New Roman" w:hAnsi="Times New Roman" w:cs="Times New Roman"/>
          <w:color w:val="231F20"/>
          <w:sz w:val="33"/>
          <w:szCs w:val="33"/>
        </w:rPr>
        <w:t>印件；</w:t>
      </w:r>
    </w:p>
    <w:p w14:paraId="0CA4DE0B">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z w:val="33"/>
          <w:szCs w:val="33"/>
          <w:lang w:val="en-US" w:eastAsia="zh-CN"/>
        </w:rPr>
        <w:t>11</w:t>
      </w:r>
      <w:r>
        <w:rPr>
          <w:rFonts w:hint="default" w:ascii="Times New Roman" w:hAnsi="Times New Roman" w:cs="Times New Roman"/>
          <w:color w:val="231F20"/>
          <w:sz w:val="33"/>
          <w:szCs w:val="33"/>
        </w:rPr>
        <w:t>.资金转账凭证；</w:t>
      </w:r>
    </w:p>
    <w:p w14:paraId="0967ED66">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sz w:val="33"/>
          <w:szCs w:val="33"/>
        </w:rPr>
      </w:pPr>
      <w:r>
        <w:rPr>
          <w:rFonts w:hint="eastAsia" w:ascii="Times New Roman" w:hAnsi="Times New Roman" w:cs="Times New Roman"/>
          <w:color w:val="231F20"/>
          <w:sz w:val="33"/>
          <w:szCs w:val="33"/>
          <w:lang w:val="en-US" w:eastAsia="zh-CN"/>
        </w:rPr>
        <w:t>12</w:t>
      </w:r>
      <w:r>
        <w:rPr>
          <w:rFonts w:hint="default" w:ascii="Times New Roman" w:hAnsi="Times New Roman" w:cs="Times New Roman"/>
          <w:color w:val="231F20"/>
          <w:sz w:val="33"/>
          <w:szCs w:val="33"/>
        </w:rPr>
        <w:t>.项目实际发生费用的合法凭证（付款凭证和发票）等；</w:t>
      </w:r>
    </w:p>
    <w:p w14:paraId="38F205F1">
      <w:pPr>
        <w:pStyle w:val="4"/>
        <w:pageBreakBefore w:val="0"/>
        <w:widowControl/>
        <w:kinsoku/>
        <w:wordWrap/>
        <w:overflowPunct/>
        <w:topLinePunct w:val="0"/>
        <w:autoSpaceDE/>
        <w:autoSpaceDN/>
        <w:bidi w:val="0"/>
        <w:adjustRightInd/>
        <w:snapToGrid/>
        <w:spacing w:line="570" w:lineRule="exact"/>
        <w:ind w:firstLine="420" w:firstLineChars="0"/>
        <w:textAlignment w:val="auto"/>
        <w:rPr>
          <w:rFonts w:hint="default" w:ascii="Times New Roman" w:hAnsi="Times New Roman" w:cs="Times New Roman"/>
          <w:color w:val="231F20"/>
          <w:sz w:val="33"/>
          <w:szCs w:val="33"/>
          <w:lang w:eastAsia="zh-CN"/>
        </w:rPr>
      </w:pPr>
      <w:r>
        <w:rPr>
          <w:rFonts w:hint="eastAsia" w:ascii="Times New Roman" w:hAnsi="Times New Roman" w:cs="Times New Roman"/>
          <w:color w:val="231F20"/>
          <w:sz w:val="33"/>
          <w:szCs w:val="33"/>
          <w:lang w:val="en-US" w:eastAsia="zh-CN"/>
        </w:rPr>
        <w:t>13</w:t>
      </w:r>
      <w:r>
        <w:rPr>
          <w:rFonts w:hint="default" w:ascii="Times New Roman" w:hAnsi="Times New Roman" w:cs="Times New Roman"/>
          <w:color w:val="231F20"/>
          <w:sz w:val="33"/>
          <w:szCs w:val="33"/>
        </w:rPr>
        <w:t>.其他与申报项目相关的证明材料。</w:t>
      </w:r>
    </w:p>
    <w:p w14:paraId="4F1FC5E8">
      <w:pPr>
        <w:pStyle w:val="4"/>
        <w:pageBreakBefore w:val="0"/>
        <w:widowControl/>
        <w:kinsoku/>
        <w:wordWrap/>
        <w:overflowPunct/>
        <w:topLinePunct w:val="0"/>
        <w:autoSpaceDE/>
        <w:autoSpaceDN/>
        <w:bidi w:val="0"/>
        <w:adjustRightInd/>
        <w:snapToGrid/>
        <w:spacing w:line="570" w:lineRule="exact"/>
        <w:ind w:left="0" w:leftChars="0" w:firstLine="636" w:firstLineChars="200"/>
        <w:textAlignment w:val="auto"/>
        <w:rPr>
          <w:rFonts w:hint="default" w:ascii="Times New Roman" w:hAnsi="Times New Roman" w:cs="Times New Roman"/>
          <w:color w:val="231F20"/>
          <w:sz w:val="33"/>
          <w:szCs w:val="33"/>
          <w:lang w:eastAsia="zh-CN"/>
        </w:rPr>
      </w:pPr>
      <w:r>
        <w:rPr>
          <w:rFonts w:hint="default" w:ascii="Times New Roman" w:hAnsi="Times New Roman" w:cs="Times New Roman"/>
          <w:color w:val="231F20"/>
          <w:sz w:val="33"/>
          <w:szCs w:val="33"/>
          <w:lang w:eastAsia="zh-CN"/>
        </w:rPr>
        <w:t>联系方式：</w:t>
      </w:r>
    </w:p>
    <w:p w14:paraId="326AB4F5">
      <w:pPr>
        <w:pStyle w:val="10"/>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rPr>
          <w:rFonts w:hint="eastAsia" w:ascii="仿宋" w:hAnsi="仿宋" w:eastAsia="仿宋" w:cs="Times New Roman"/>
          <w:b w:val="0"/>
          <w:bCs/>
          <w:snapToGrid w:val="0"/>
          <w:kern w:val="0"/>
          <w:sz w:val="32"/>
          <w:szCs w:val="44"/>
          <w:highlight w:val="none"/>
          <w:lang w:val="en-US" w:eastAsia="zh-CN"/>
        </w:rPr>
      </w:pPr>
      <w:r>
        <w:rPr>
          <w:rFonts w:hint="eastAsia" w:ascii="仿宋" w:hAnsi="仿宋" w:eastAsia="仿宋" w:cs="Times New Roman"/>
          <w:b w:val="0"/>
          <w:bCs/>
          <w:snapToGrid w:val="0"/>
          <w:kern w:val="0"/>
          <w:sz w:val="32"/>
          <w:szCs w:val="44"/>
          <w:highlight w:val="none"/>
          <w:lang w:val="en-US" w:eastAsia="zh-CN"/>
        </w:rPr>
        <w:t>延吉市商务局 金  泉  0433-2531815/15568002835</w:t>
      </w:r>
    </w:p>
    <w:p w14:paraId="11642890">
      <w:pPr>
        <w:pStyle w:val="10"/>
        <w:keepNext w:val="0"/>
        <w:keepLines w:val="0"/>
        <w:pageBreakBefore w:val="0"/>
        <w:widowControl w:val="0"/>
        <w:kinsoku/>
        <w:wordWrap/>
        <w:overflowPunct/>
        <w:topLinePunct w:val="0"/>
        <w:autoSpaceDE/>
        <w:autoSpaceDN/>
        <w:bidi w:val="0"/>
        <w:adjustRightInd/>
        <w:snapToGrid/>
        <w:spacing w:line="570" w:lineRule="exact"/>
        <w:ind w:right="0" w:rightChars="0" w:firstLine="2720" w:firstLineChars="850"/>
        <w:textAlignment w:val="auto"/>
        <w:rPr>
          <w:rFonts w:hint="default" w:ascii="Times New Roman" w:hAnsi="Times New Roman" w:eastAsia="仿宋" w:cs="Times New Roman"/>
          <w:b w:val="0"/>
          <w:bCs/>
          <w:snapToGrid w:val="0"/>
          <w:kern w:val="0"/>
          <w:sz w:val="33"/>
          <w:szCs w:val="33"/>
          <w:highlight w:val="none"/>
          <w:lang w:val="en-US" w:eastAsia="zh-CN"/>
        </w:rPr>
      </w:pPr>
      <w:r>
        <w:rPr>
          <w:rFonts w:hint="eastAsia" w:ascii="仿宋" w:hAnsi="仿宋" w:eastAsia="仿宋" w:cs="Times New Roman"/>
          <w:b w:val="0"/>
          <w:bCs/>
          <w:snapToGrid w:val="0"/>
          <w:kern w:val="0"/>
          <w:sz w:val="32"/>
          <w:szCs w:val="44"/>
          <w:highlight w:val="none"/>
          <w:lang w:val="en-US" w:eastAsia="zh-CN"/>
        </w:rPr>
        <w:t>金炫宇  0433-2808181/13341525025</w:t>
      </w:r>
    </w:p>
    <w:p w14:paraId="24C6448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33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C23F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9C23F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B3A82"/>
    <w:rsid w:val="767B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2025-12-19T06:16:00Z</dcterms:created>
  <dc:creator>飞飞</dc:creator>
  <cp:lastModifiedBy>飞飞</cp:lastModifiedBy>
  <dcterms:modified xsi:type="dcterms:W3CDTF">2025-12-19T06:16:28Z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E0296B4138B14FEF98976FB3C9A21118_11</vt:lpwstr>
  </property>
  <property fmtid="{D5CDD505-2E9C-101B-9397-08002B2CF9AE}" pid="4" name="KSOTemplateDocerSaveRecord">
    <vt:lpwstr>eyJoZGlkIjoiNDg1ODMxNjM0YjgzNDYwNTFlOTEyZWJhNWVmYzdlMWYiLCJ1c2VySWQiOiIxNTM5ODUyODQ0In0=</vt:lpwstr>
  </property>
</Properties>
</file>