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近期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延吉市雨污分流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改造项目道路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恢复进展的公告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</w:pPr>
    </w:p>
    <w:p>
      <w:pPr>
        <w:pStyle w:val="2"/>
        <w:ind w:firstLine="660" w:firstLineChars="200"/>
        <w:rPr>
          <w:rFonts w:hint="eastAsia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  <w:t>为完善城区排水系统，解决城区部分道路汛期积水情况，自2024年4月4日开始，延吉市城区排水管网雨污分流提升改造一期工程正式开工。项目按照原定计划有序推进，第一阶段已结束同时将原计划第二阶段开工的迎春街（迎春街至光进街）、人民路（朝阳街至迎春街）、龙湖街（河堤出水口）等3处提前开工建设，从而加快推进改造进度。第二阶段已开工建设，累计已完成光明街、人民路和朝阳街等12条街路合计12.3公里的雨水、污水管网。</w:t>
      </w:r>
    </w:p>
    <w:p>
      <w:pPr>
        <w:pStyle w:val="2"/>
        <w:ind w:firstLine="660" w:firstLineChars="200"/>
        <w:rPr>
          <w:rFonts w:hint="eastAsia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  <w:t>为缓解城市主次干路的道路通行压力，将采用道路开挖和恢复工作交替进行的施工方式，根据施工计划安排7月5日前将完成长白山路（新民南街至阿里郎街）、光明街（友谊路至海兰路）、朝阳街（爱丹路至人民路）、人民路（迎春街至太平街）、进学小学南侧道路（光进街至秋云胡同）、局子街（健康路至军民路）（军民路至民防公寓）、迎春街（友谊路至解放路）（人民路至爱丹路）、爱丹路（参花街至丹金胡同）、延大街（君钰府南门至丽山花园）、梨花路</w:t>
      </w: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（园川街至公新街</w:t>
      </w:r>
      <w:r>
        <w:rPr>
          <w:rFonts w:hint="eastAsia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  <w:t>）、友谊路（延东桥东北匝道）等11条道路共计4.5公里长的道路恢复作业，恢复道路面积约3.96万平方米，从而进一步提升城市道路出行效率。</w:t>
      </w:r>
      <w:bookmarkStart w:id="0" w:name="_GoBack"/>
      <w:bookmarkEnd w:id="0"/>
    </w:p>
    <w:p>
      <w:pPr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道路恢复完成后将及时开放道路封闭区域，请过往车辆和行人按照交通标志指示信息通行，在此对因施工给大家带来的不便表示歉意，敬请广大市民理解和支持。</w:t>
      </w:r>
    </w:p>
    <w:p>
      <w:pPr>
        <w:pStyle w:val="2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附：1、近期延吉市雨污分流改造项目道路恢复位置统计表</w:t>
      </w:r>
    </w:p>
    <w:p>
      <w:pPr>
        <w:ind w:firstLine="660" w:firstLineChars="200"/>
        <w:jc w:val="both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2、近期延吉市雨污分流改造项目道路恢复位置示意图</w:t>
      </w:r>
    </w:p>
    <w:p>
      <w:pPr>
        <w:ind w:firstLine="660" w:firstLineChars="200"/>
        <w:jc w:val="righ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ind w:firstLine="660" w:firstLineChars="200"/>
        <w:jc w:val="right"/>
        <w:rPr>
          <w:rFonts w:hint="eastAsia" w:ascii="仿宋_GB2312" w:hAnsi="仿宋_GB2312" w:eastAsia="仿宋_GB2312" w:cs="仿宋_GB2312"/>
          <w:bCs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3"/>
          <w:szCs w:val="33"/>
          <w:lang w:val="en-US" w:eastAsia="zh-CN"/>
        </w:rPr>
        <w:t>延吉市住房和城乡建设局</w:t>
      </w:r>
    </w:p>
    <w:p>
      <w:pPr>
        <w:jc w:val="right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3"/>
          <w:szCs w:val="33"/>
        </w:rPr>
        <w:t>20</w:t>
      </w: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3"/>
          <w:szCs w:val="33"/>
        </w:rPr>
        <w:t>年</w:t>
      </w: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3"/>
          <w:szCs w:val="33"/>
        </w:rPr>
        <w:t>月</w:t>
      </w: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3"/>
          <w:szCs w:val="33"/>
        </w:rPr>
        <w:t>日</w:t>
      </w:r>
    </w:p>
    <w:p>
      <w:pPr>
        <w:pStyle w:val="2"/>
        <w:ind w:firstLine="660" w:firstLineChars="200"/>
        <w:rPr>
          <w:rFonts w:hint="default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</w:pPr>
    </w:p>
    <w:p>
      <w:pPr>
        <w:pStyle w:val="2"/>
        <w:ind w:firstLine="660" w:firstLineChars="200"/>
        <w:rPr>
          <w:rFonts w:hint="default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</w:pPr>
    </w:p>
    <w:p>
      <w:pPr>
        <w:pStyle w:val="2"/>
        <w:ind w:firstLine="660" w:firstLineChars="200"/>
        <w:rPr>
          <w:rFonts w:hint="default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</w:pPr>
    </w:p>
    <w:p>
      <w:pPr>
        <w:pStyle w:val="2"/>
        <w:ind w:firstLine="660" w:firstLineChars="200"/>
        <w:rPr>
          <w:rFonts w:hint="default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</w:pPr>
    </w:p>
    <w:p>
      <w:pPr>
        <w:pStyle w:val="2"/>
        <w:ind w:firstLine="660" w:firstLineChars="200"/>
        <w:rPr>
          <w:rFonts w:hint="default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</w:pPr>
    </w:p>
    <w:p>
      <w:pPr>
        <w:pStyle w:val="2"/>
        <w:ind w:firstLine="660" w:firstLineChars="200"/>
        <w:rPr>
          <w:rFonts w:hint="default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</w:pPr>
    </w:p>
    <w:p>
      <w:pPr>
        <w:pStyle w:val="2"/>
        <w:ind w:firstLine="660" w:firstLineChars="200"/>
        <w:rPr>
          <w:rFonts w:hint="default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</w:pPr>
    </w:p>
    <w:p>
      <w:pPr>
        <w:pStyle w:val="2"/>
        <w:ind w:firstLine="660" w:firstLineChars="200"/>
        <w:rPr>
          <w:rFonts w:hint="default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</w:pPr>
    </w:p>
    <w:p>
      <w:pPr>
        <w:pStyle w:val="2"/>
        <w:ind w:firstLine="660" w:firstLineChars="200"/>
        <w:rPr>
          <w:rFonts w:hint="default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</w:pPr>
    </w:p>
    <w:p>
      <w:pPr>
        <w:pStyle w:val="2"/>
        <w:ind w:firstLine="660" w:firstLineChars="200"/>
        <w:rPr>
          <w:rFonts w:hint="default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</w:pPr>
    </w:p>
    <w:p>
      <w:pPr>
        <w:pStyle w:val="2"/>
        <w:ind w:firstLine="660" w:firstLineChars="200"/>
        <w:rPr>
          <w:rFonts w:hint="default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</w:pPr>
    </w:p>
    <w:p>
      <w:pPr>
        <w:pStyle w:val="2"/>
        <w:ind w:firstLine="660" w:firstLineChars="200"/>
        <w:rPr>
          <w:rFonts w:hint="default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27"/>
        <w:gridCol w:w="3063"/>
        <w:gridCol w:w="1594"/>
        <w:gridCol w:w="2044"/>
        <w:gridCol w:w="2156"/>
        <w:gridCol w:w="2321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近期延吉市雨污分流改造项目道路恢复位置统计表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道路名称</w:t>
            </w:r>
          </w:p>
        </w:tc>
        <w:tc>
          <w:tcPr>
            <w:tcW w:w="3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路段（起止点）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长度（米）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宽度（米）</w:t>
            </w:r>
          </w:p>
        </w:tc>
        <w:tc>
          <w:tcPr>
            <w:tcW w:w="2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恢复面积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2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完成复修时间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梨花路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园川街至公新街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2024.5.1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友谊路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延东桥东北匝道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937.5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2024.5.19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迎春街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友谊路-解放路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局子街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军民路-民防公寓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3864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2024.6.23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长白山路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新民南街—阿里郎大街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8540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2024.6.26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局子街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健康路-军民路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2024.6.28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光明街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友谊路-海兰路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人民路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迎春街-太平街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朝阳街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爱丹路-人民路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进学小学南侧道路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光进街—秋云胡同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迎春街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人民路-爱丹路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爱丹路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参花街-丹金胡同</w:t>
            </w:r>
          </w:p>
        </w:tc>
        <w:tc>
          <w:tcPr>
            <w:tcW w:w="15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2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延大街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君钰府南门-丽山花园</w:t>
            </w:r>
          </w:p>
        </w:tc>
        <w:tc>
          <w:tcPr>
            <w:tcW w:w="15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2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39631.50 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3"/>
          <w:szCs w:val="33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-1118870</wp:posOffset>
            </wp:positionV>
            <wp:extent cx="10665460" cy="6660515"/>
            <wp:effectExtent l="0" t="0" r="2540" b="6985"/>
            <wp:wrapSquare wrapText="bothSides"/>
            <wp:docPr id="1" name="图片 1" descr="近期延吉市雨污分流改造项目道路恢复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近期延吉市雨污分流改造项目道路恢复位置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5460" cy="666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ZmMxYTZkZDE0NjE3YjIxYjQwNDBlMzMzM2ZlM2UifQ=="/>
  </w:docVars>
  <w:rsids>
    <w:rsidRoot w:val="5CB36934"/>
    <w:rsid w:val="048D68B9"/>
    <w:rsid w:val="071B6135"/>
    <w:rsid w:val="135367B6"/>
    <w:rsid w:val="1435214E"/>
    <w:rsid w:val="14F672B6"/>
    <w:rsid w:val="184932AC"/>
    <w:rsid w:val="18605A39"/>
    <w:rsid w:val="2B305A68"/>
    <w:rsid w:val="52DF3957"/>
    <w:rsid w:val="53E57531"/>
    <w:rsid w:val="5CB36934"/>
    <w:rsid w:val="66D82B07"/>
    <w:rsid w:val="66E64088"/>
    <w:rsid w:val="750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912</Words>
  <Characters>1117</Characters>
  <Lines>0</Lines>
  <Paragraphs>0</Paragraphs>
  <TotalTime>28</TotalTime>
  <ScaleCrop>false</ScaleCrop>
  <LinksUpToDate>false</LinksUpToDate>
  <CharactersWithSpaces>1144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2024-06-21T02:20:00Z</dcterms:created>
  <dc:creator>一人</dc:creator>
  <cp:lastModifiedBy>姿 态</cp:lastModifiedBy>
  <dcterms:modified xsi:type="dcterms:W3CDTF">2024-06-24T08:07:34Z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6697E0730ECD478AB425881543CACEA2_13</vt:lpwstr>
  </property>
</Properties>
</file>